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atLeast"/>
        <w:jc w:val="center"/>
        <w:textAlignment w:val="auto"/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浙江三铁信息技术有限公司基本情况</w:t>
      </w:r>
      <w:bookmarkEnd w:id="0"/>
    </w:p>
    <w:p>
      <w:pPr>
        <w:widowControl w:val="0"/>
        <w:numPr>
          <w:ilvl w:val="0"/>
          <w:numId w:val="0"/>
        </w:numPr>
        <w:spacing w:line="360" w:lineRule="auto"/>
        <w:ind w:firstLine="481"/>
        <w:jc w:val="left"/>
        <w:rPr>
          <w:rFonts w:hint="default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一、工商登记信息</w:t>
      </w:r>
    </w:p>
    <w:p>
      <w:pPr>
        <w:widowControl w:val="0"/>
        <w:numPr>
          <w:ilvl w:val="0"/>
          <w:numId w:val="0"/>
        </w:numPr>
        <w:spacing w:line="360" w:lineRule="auto"/>
        <w:ind w:firstLine="481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浙江三铁信息技术有限公司成立于2018年3月14日，公司类型为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有限责任公司（外商投资、非独资）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，住所地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浙江省嘉兴市昌盛南路36号3幢601室，法定代表人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崔玉柱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。注册资本1530.6122万元人民币，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统一社会信用代码：91330401MA2B9HAP4G。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公司股东为海盐紧星五金制品有限公司、上海佰铁管理咨询合伙企业（有限合伙）、上海佰佑企业管理咨询合伙企业（有限合伙）、Fountainbridge Fund I LP、青岛君辰投资管理合伙企业（有限合伙）、诸暨君驰股权投资合伙企业（有限合伙）、湖州君行投资管理合伙企业（有限合伙），出资1000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万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元、153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.0612万元、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153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.0612万元、71.4286万元、66.3265万元、51.0204万元、35.7143万元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，出资比例65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.3333%、10%、10%、4.6667%、3.3333%、2.3333%。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公司经营期限为自2018年3月14日至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Hans" w:bidi="ar-SA"/>
        </w:rPr>
        <w:t>无固定期限。</w:t>
      </w:r>
    </w:p>
    <w:p>
      <w:pPr>
        <w:widowControl w:val="0"/>
        <w:numPr>
          <w:ilvl w:val="0"/>
          <w:numId w:val="0"/>
        </w:numPr>
        <w:spacing w:line="360" w:lineRule="auto"/>
        <w:ind w:firstLine="481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公司经营范围为：一般项目：技术服务、技术开发、技术咨询、技术交流、技术转让、技术推广；普通机械设备安装服务；计算机软硬件及辅助设备零售；计算机及办公设备维修；信息系统集成服务；五金产品零售；模具销售；电子元器件零售；阀门和旋塞销售；特种设备销售；仪器仪表销售；照明器具销售；劳动保护用品销售；试验机销售；普通货物仓储服务（不含危险化学品等需许可审批的项目）；包装材料及制品销售；橡胶制品销售；包装服务(除依法须经批准的项目外，凭营业执照依法自主开展经营活动)。</w:t>
      </w:r>
    </w:p>
    <w:p>
      <w:pPr>
        <w:widowControl w:val="0"/>
        <w:numPr>
          <w:ilvl w:val="0"/>
          <w:numId w:val="0"/>
        </w:numPr>
        <w:spacing w:line="360" w:lineRule="auto"/>
        <w:ind w:firstLine="481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二、关联公司基本情况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三铁公司因其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 w:bidi="ar"/>
        </w:rPr>
        <w:t>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经营需求而在全国多地全资设立子公司10家及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 w:bidi="ar"/>
        </w:rPr>
        <w:t>控股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55%青岛三铁供应链有限公司的基本情况，该11家关联公司具体的情况如下：</w:t>
      </w:r>
    </w:p>
    <w:tbl>
      <w:tblPr>
        <w:tblStyle w:val="2"/>
        <w:tblpPr w:leftFromText="180" w:rightFromText="180" w:vertAnchor="text" w:horzAnchor="page" w:tblpX="1641" w:tblpY="215"/>
        <w:tblOverlap w:val="never"/>
        <w:tblW w:w="84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3524"/>
        <w:gridCol w:w="910"/>
        <w:gridCol w:w="1384"/>
        <w:gridCol w:w="21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注册资本（万）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实缴情况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嘉兴三铁信息技术有限公司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嘉兴市南湖区新丰镇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海盐三铁供应链有限公司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嘉兴海盐武原街道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三铁供应链（广州）有限公司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广州市南沙区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沈阳三块神铁仓储服务有限公司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500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实缴 375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Hans" w:bidi="ar"/>
              </w:rPr>
              <w:t>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沈阳市于洪区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苏州三块神铁信息技术有限公司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苏州工业园区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邯郸三铁供应链管理有限公司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实缴109.29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Hans" w:bidi="ar"/>
              </w:rPr>
              <w:t>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邯郸市丛台区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天津紧固之星商贸有限公司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天津市西青区中北镇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泉州三铁供应链有限责任公司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泉州市南安市霞美镇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兴化市北鼎物流有限公司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兴化市戴南镇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天津三铁供应链有限公司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Hans" w:bidi="ar"/>
              </w:rPr>
              <w:t>实缴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10.45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Hans" w:bidi="ar"/>
              </w:rPr>
              <w:t>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天津市西青区中北镇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青岛三铁供应链有限公司（55%股权）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Hans" w:bidi="ar"/>
              </w:rPr>
              <w:t>500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Hans" w:bidi="ar"/>
              </w:rPr>
              <w:t>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实缴275万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青岛市城阳区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宋体"/>
          <w:b/>
          <w:bCs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  <w:t>经营模式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  <w:t>经营模式系其以三铁公司为母公司设立“五金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Hans"/>
        </w:rPr>
        <w:t>紧固件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  <w:t>产业供应链服务”的互联网平台，由其控股或占股的关联公司搭建具备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Hans"/>
        </w:rPr>
        <w:t>仓储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Hans"/>
        </w:rPr>
        <w:t>配送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  <w:t>功能的服务渠道，试图促使制造商、批发商和零售商在其平台上实现线上直接交易，并利用其搭建的线下仓储、物流优势实现工业品高效流通交易的目的。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482" w:firstLineChars="20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  <w:t>四、财务资料情况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2"/>
        <w:jc w:val="left"/>
        <w:textAlignment w:val="auto"/>
        <w:outlineLvl w:val="9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管理人目前已接管了三铁公司的财务账册、会计账簿、记账凭证、裁判文书等可反馈公司资产的财务资料。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 xml:space="preserve"> </w:t>
      </w:r>
    </w:p>
    <w:p>
      <w:pPr>
        <w:spacing w:line="560" w:lineRule="atLeast"/>
        <w:jc w:val="center"/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9E6485"/>
    <w:multiLevelType w:val="singleLevel"/>
    <w:tmpl w:val="6F9E64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TAxNjFjZWQyYThiYWVhYTg2ODkxZmIxYjY0NzAifQ=="/>
  </w:docVars>
  <w:rsids>
    <w:rsidRoot w:val="073D6C1F"/>
    <w:rsid w:val="073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160" w:line="413" w:lineRule="auto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2022-05-27T01:15:00Z</dcterms:created>
  <dc:creator>暴力书生</dc:creator>
  <cp:lastModifiedBy>暴力书生</cp:lastModifiedBy>
  <dcterms:modified xsi:type="dcterms:W3CDTF">2022-05-27T01:15:51Z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18912B315CB743A785C4A4354B217E2B</vt:lpwstr>
  </property>
</Properties>
</file>